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5B2ED" w14:textId="1AFD01C4" w:rsidR="00362A8D" w:rsidRPr="00F82575" w:rsidRDefault="00AA7F0A" w:rsidP="00362A8D">
      <w:pPr>
        <w:wordWrap w:val="0"/>
        <w:jc w:val="right"/>
        <w:rPr>
          <w:rFonts w:ascii="ＭＳ 明朝" w:hAnsi="ＭＳ 明朝"/>
          <w:szCs w:val="24"/>
        </w:rPr>
      </w:pPr>
      <w:r>
        <w:rPr>
          <w:rFonts w:ascii="ＭＳ 明朝" w:hAnsi="ＭＳ 明朝" w:hint="eastAsia"/>
          <w:szCs w:val="24"/>
        </w:rPr>
        <w:t>２０２６</w:t>
      </w:r>
      <w:r w:rsidR="00362A8D" w:rsidRPr="00F82575">
        <w:rPr>
          <w:rFonts w:ascii="ＭＳ 明朝" w:hAnsi="ＭＳ 明朝" w:hint="eastAsia"/>
          <w:szCs w:val="24"/>
          <w:lang w:eastAsia="zh-TW"/>
        </w:rPr>
        <w:t>年</w:t>
      </w:r>
      <w:r>
        <w:rPr>
          <w:rFonts w:ascii="ＭＳ 明朝" w:hAnsi="ＭＳ 明朝" w:hint="eastAsia"/>
          <w:szCs w:val="24"/>
        </w:rPr>
        <w:t>８</w:t>
      </w:r>
      <w:r w:rsidR="00362A8D" w:rsidRPr="00F82575">
        <w:rPr>
          <w:rFonts w:ascii="ＭＳ 明朝" w:hAnsi="ＭＳ 明朝" w:hint="eastAsia"/>
          <w:szCs w:val="24"/>
          <w:lang w:eastAsia="zh-TW"/>
        </w:rPr>
        <w:t>月</w:t>
      </w:r>
      <w:r>
        <w:rPr>
          <w:rFonts w:ascii="ＭＳ 明朝" w:hAnsi="ＭＳ 明朝" w:hint="eastAsia"/>
          <w:szCs w:val="24"/>
        </w:rPr>
        <w:t>２４</w:t>
      </w:r>
      <w:r w:rsidR="00362A8D" w:rsidRPr="00F82575">
        <w:rPr>
          <w:rFonts w:ascii="ＭＳ 明朝" w:hAnsi="ＭＳ 明朝" w:hint="eastAsia"/>
          <w:szCs w:val="24"/>
          <w:lang w:eastAsia="zh-TW"/>
        </w:rPr>
        <w:t>日</w:t>
      </w:r>
    </w:p>
    <w:p w14:paraId="7A7E0A1B" w14:textId="77777777" w:rsidR="00362A8D" w:rsidRPr="00F82575" w:rsidRDefault="00362A8D" w:rsidP="00362A8D">
      <w:pPr>
        <w:jc w:val="right"/>
        <w:rPr>
          <w:rFonts w:ascii="ＭＳ 明朝" w:hAnsi="ＭＳ 明朝"/>
          <w:szCs w:val="24"/>
        </w:rPr>
      </w:pPr>
    </w:p>
    <w:p w14:paraId="5056B01C" w14:textId="77669267" w:rsidR="00362A8D" w:rsidRPr="00F82575" w:rsidRDefault="00362A8D" w:rsidP="00362A8D">
      <w:pPr>
        <w:rPr>
          <w:rFonts w:ascii="ＭＳ 明朝" w:hAnsi="ＭＳ 明朝"/>
          <w:szCs w:val="24"/>
          <w:lang w:eastAsia="zh-TW"/>
        </w:rPr>
      </w:pPr>
      <w:r w:rsidRPr="00F82575">
        <w:rPr>
          <w:rFonts w:ascii="ＭＳ 明朝" w:hAnsi="ＭＳ 明朝" w:hint="eastAsia"/>
          <w:szCs w:val="24"/>
          <w:lang w:eastAsia="zh-TW"/>
        </w:rPr>
        <w:t xml:space="preserve">　国</w:t>
      </w:r>
      <w:r w:rsidR="00B459C3">
        <w:rPr>
          <w:rFonts w:ascii="ＭＳ 明朝" w:hAnsi="ＭＳ 明朝" w:hint="eastAsia"/>
          <w:szCs w:val="24"/>
        </w:rPr>
        <w:t xml:space="preserve"> </w:t>
      </w:r>
      <w:r w:rsidRPr="00F82575">
        <w:rPr>
          <w:rFonts w:ascii="ＭＳ 明朝" w:hAnsi="ＭＳ 明朝" w:hint="eastAsia"/>
          <w:szCs w:val="24"/>
          <w:lang w:eastAsia="zh-TW"/>
        </w:rPr>
        <w:t>土</w:t>
      </w:r>
      <w:r w:rsidR="00B459C3">
        <w:rPr>
          <w:rFonts w:ascii="ＭＳ 明朝" w:hAnsi="ＭＳ 明朝" w:hint="eastAsia"/>
          <w:szCs w:val="24"/>
        </w:rPr>
        <w:t xml:space="preserve"> </w:t>
      </w:r>
      <w:r w:rsidRPr="00F82575">
        <w:rPr>
          <w:rFonts w:ascii="ＭＳ 明朝" w:hAnsi="ＭＳ 明朝" w:hint="eastAsia"/>
          <w:szCs w:val="24"/>
          <w:lang w:eastAsia="zh-TW"/>
        </w:rPr>
        <w:t>交</w:t>
      </w:r>
      <w:r w:rsidR="00B459C3">
        <w:rPr>
          <w:rFonts w:ascii="ＭＳ 明朝" w:hAnsi="ＭＳ 明朝" w:hint="eastAsia"/>
          <w:szCs w:val="24"/>
        </w:rPr>
        <w:t xml:space="preserve"> </w:t>
      </w:r>
      <w:r w:rsidRPr="00F82575">
        <w:rPr>
          <w:rFonts w:ascii="ＭＳ 明朝" w:hAnsi="ＭＳ 明朝" w:hint="eastAsia"/>
          <w:szCs w:val="24"/>
          <w:lang w:eastAsia="zh-TW"/>
        </w:rPr>
        <w:t>通</w:t>
      </w:r>
      <w:r w:rsidR="00B459C3">
        <w:rPr>
          <w:rFonts w:ascii="ＭＳ 明朝" w:hAnsi="ＭＳ 明朝" w:hint="eastAsia"/>
          <w:szCs w:val="24"/>
        </w:rPr>
        <w:t xml:space="preserve"> </w:t>
      </w:r>
      <w:r w:rsidRPr="00F82575">
        <w:rPr>
          <w:rFonts w:ascii="ＭＳ 明朝" w:hAnsi="ＭＳ 明朝" w:hint="eastAsia"/>
          <w:szCs w:val="24"/>
          <w:lang w:eastAsia="zh-TW"/>
        </w:rPr>
        <w:t>大</w:t>
      </w:r>
      <w:r w:rsidR="00B459C3">
        <w:rPr>
          <w:rFonts w:ascii="ＭＳ 明朝" w:hAnsi="ＭＳ 明朝" w:hint="eastAsia"/>
          <w:szCs w:val="24"/>
        </w:rPr>
        <w:t xml:space="preserve"> </w:t>
      </w:r>
      <w:r w:rsidRPr="00F82575">
        <w:rPr>
          <w:rFonts w:ascii="ＭＳ 明朝" w:hAnsi="ＭＳ 明朝" w:hint="eastAsia"/>
          <w:szCs w:val="24"/>
          <w:lang w:eastAsia="zh-TW"/>
        </w:rPr>
        <w:t>臣</w:t>
      </w:r>
    </w:p>
    <w:p w14:paraId="5B4ED90A" w14:textId="2A30ECEC" w:rsidR="00362A8D" w:rsidRPr="00AA7F0A" w:rsidRDefault="00362A8D" w:rsidP="00362A8D">
      <w:pPr>
        <w:rPr>
          <w:rFonts w:ascii="ＭＳ 明朝" w:hAnsi="ＭＳ 明朝" w:hint="eastAsia"/>
          <w:szCs w:val="24"/>
        </w:rPr>
      </w:pPr>
      <w:r w:rsidRPr="00F82575">
        <w:rPr>
          <w:rFonts w:ascii="ＭＳ 明朝" w:hAnsi="ＭＳ 明朝" w:hint="eastAsia"/>
          <w:szCs w:val="24"/>
          <w:lang w:eastAsia="zh-TW"/>
        </w:rPr>
        <w:t xml:space="preserve">　　金　子　恭　之　様</w:t>
      </w:r>
    </w:p>
    <w:p w14:paraId="7AE92939" w14:textId="77777777" w:rsidR="00362A8D" w:rsidRPr="00F82575" w:rsidRDefault="00362A8D" w:rsidP="00362A8D">
      <w:pPr>
        <w:wordWrap w:val="0"/>
        <w:jc w:val="right"/>
        <w:rPr>
          <w:rFonts w:ascii="ＭＳ 明朝" w:hAnsi="ＭＳ 明朝"/>
          <w:szCs w:val="24"/>
          <w:lang w:eastAsia="zh-TW"/>
        </w:rPr>
      </w:pPr>
      <w:r w:rsidRPr="00F82575">
        <w:rPr>
          <w:rFonts w:ascii="ＭＳ 明朝" w:hAnsi="ＭＳ 明朝" w:hint="eastAsia"/>
          <w:spacing w:val="40"/>
          <w:szCs w:val="24"/>
          <w:lang w:eastAsia="zh-TW"/>
        </w:rPr>
        <w:t>全日本自治団体労働組</w:t>
      </w:r>
      <w:r w:rsidRPr="00F82575">
        <w:rPr>
          <w:rFonts w:ascii="ＭＳ 明朝" w:hAnsi="ＭＳ 明朝" w:hint="eastAsia"/>
          <w:szCs w:val="24"/>
          <w:lang w:eastAsia="zh-TW"/>
        </w:rPr>
        <w:t xml:space="preserve">合　　</w:t>
      </w:r>
    </w:p>
    <w:p w14:paraId="5DDF72AE" w14:textId="77777777" w:rsidR="00362A8D" w:rsidRDefault="00362A8D" w:rsidP="00362A8D">
      <w:pPr>
        <w:wordWrap w:val="0"/>
        <w:jc w:val="right"/>
        <w:rPr>
          <w:rFonts w:ascii="ＭＳ 明朝" w:hAnsi="ＭＳ 明朝"/>
          <w:szCs w:val="24"/>
        </w:rPr>
      </w:pPr>
      <w:r w:rsidRPr="00F82575">
        <w:rPr>
          <w:rFonts w:ascii="ＭＳ 明朝" w:hAnsi="ＭＳ 明朝" w:hint="eastAsia"/>
          <w:szCs w:val="24"/>
          <w:lang w:eastAsia="zh-TW"/>
        </w:rPr>
        <w:t xml:space="preserve">中央執行委員長　</w:t>
      </w:r>
      <w:r w:rsidRPr="00F82575">
        <w:rPr>
          <w:rFonts w:ascii="ＭＳ 明朝" w:hAnsi="ＭＳ 明朝" w:hint="eastAsia"/>
          <w:szCs w:val="24"/>
        </w:rPr>
        <w:t>石　上　千　博</w:t>
      </w:r>
    </w:p>
    <w:p w14:paraId="603F6A88" w14:textId="4511D8BE" w:rsidR="00362A8D" w:rsidRDefault="000E01C1" w:rsidP="000E01C1">
      <w:pPr>
        <w:ind w:leftChars="1652" w:left="3965" w:firstLineChars="827" w:firstLine="1985"/>
        <w:jc w:val="distribute"/>
        <w:rPr>
          <w:rFonts w:ascii="ＭＳ 明朝" w:hAnsi="ＭＳ 明朝"/>
          <w:szCs w:val="24"/>
        </w:rPr>
      </w:pPr>
      <w:r w:rsidRPr="000E01C1">
        <w:rPr>
          <w:rFonts w:ascii="ＭＳ 明朝" w:hAnsi="ＭＳ 明朝"/>
          <w:szCs w:val="24"/>
        </w:rPr>
        <w:t>（</w:t>
      </w:r>
      <w:r>
        <w:rPr>
          <w:rFonts w:ascii="ＭＳ 明朝" w:hAnsi="ＭＳ 明朝" w:hint="eastAsia"/>
          <w:szCs w:val="24"/>
        </w:rPr>
        <w:t>都市交通</w:t>
      </w:r>
      <w:r w:rsidRPr="000E01C1">
        <w:rPr>
          <w:rFonts w:ascii="ＭＳ 明朝" w:hAnsi="ＭＳ 明朝"/>
          <w:szCs w:val="24"/>
        </w:rPr>
        <w:t>評議会）</w:t>
      </w:r>
    </w:p>
    <w:p w14:paraId="79072F35" w14:textId="77777777" w:rsidR="00AA7F0A" w:rsidRDefault="00AA7F0A" w:rsidP="00362A8D">
      <w:pPr>
        <w:jc w:val="center"/>
        <w:rPr>
          <w:rFonts w:ascii="ＭＳ 明朝" w:hAnsi="ＭＳ 明朝"/>
          <w:sz w:val="32"/>
          <w:szCs w:val="32"/>
        </w:rPr>
      </w:pPr>
    </w:p>
    <w:p w14:paraId="728AED35" w14:textId="77777777" w:rsidR="00AA7F0A" w:rsidRDefault="00AA7F0A" w:rsidP="00362A8D">
      <w:pPr>
        <w:jc w:val="center"/>
        <w:rPr>
          <w:rFonts w:ascii="ＭＳ 明朝" w:hAnsi="ＭＳ 明朝" w:hint="eastAsia"/>
          <w:sz w:val="32"/>
          <w:szCs w:val="32"/>
        </w:rPr>
      </w:pPr>
    </w:p>
    <w:p w14:paraId="7BE6BDC4" w14:textId="3D58216D" w:rsidR="00362A8D" w:rsidRPr="00F82575" w:rsidRDefault="00362A8D" w:rsidP="00362A8D">
      <w:pPr>
        <w:jc w:val="center"/>
        <w:rPr>
          <w:rFonts w:ascii="ＭＳ 明朝" w:hAnsi="ＭＳ 明朝"/>
          <w:sz w:val="32"/>
          <w:szCs w:val="32"/>
        </w:rPr>
      </w:pPr>
      <w:r w:rsidRPr="00F82575">
        <w:rPr>
          <w:rFonts w:ascii="ＭＳ 明朝" w:hAnsi="ＭＳ 明朝"/>
          <w:sz w:val="32"/>
          <w:szCs w:val="32"/>
        </w:rPr>
        <w:t>202</w:t>
      </w:r>
      <w:r w:rsidRPr="00F82575">
        <w:rPr>
          <w:rFonts w:ascii="ＭＳ 明朝" w:hAnsi="ＭＳ 明朝" w:hint="eastAsia"/>
          <w:sz w:val="32"/>
          <w:szCs w:val="32"/>
        </w:rPr>
        <w:t>7年度政府予算編成に関する要請書</w:t>
      </w:r>
    </w:p>
    <w:p w14:paraId="5E0B0AA7" w14:textId="77777777" w:rsidR="00362A8D" w:rsidRDefault="00362A8D" w:rsidP="00362A8D">
      <w:pPr>
        <w:rPr>
          <w:rFonts w:ascii="ＭＳ 明朝" w:hAnsi="ＭＳ 明朝"/>
        </w:rPr>
      </w:pPr>
    </w:p>
    <w:p w14:paraId="70026ED7" w14:textId="77777777" w:rsidR="00AA7F0A" w:rsidRDefault="00AA7F0A" w:rsidP="00362A8D">
      <w:pPr>
        <w:rPr>
          <w:rFonts w:ascii="ＭＳ 明朝" w:hAnsi="ＭＳ 明朝"/>
        </w:rPr>
      </w:pPr>
    </w:p>
    <w:p w14:paraId="7B9630D3" w14:textId="77777777" w:rsidR="00AA7F0A" w:rsidRDefault="00AA7F0A" w:rsidP="00362A8D">
      <w:pPr>
        <w:rPr>
          <w:rFonts w:ascii="ＭＳ 明朝" w:hAnsi="ＭＳ 明朝"/>
        </w:rPr>
      </w:pPr>
    </w:p>
    <w:p w14:paraId="5D8D7EB4" w14:textId="77777777" w:rsidR="00AA7F0A" w:rsidRDefault="00AA7F0A" w:rsidP="00362A8D">
      <w:pPr>
        <w:rPr>
          <w:rFonts w:ascii="ＭＳ 明朝" w:hAnsi="ＭＳ 明朝" w:hint="eastAsia"/>
        </w:rPr>
      </w:pPr>
    </w:p>
    <w:p w14:paraId="0876C6DA" w14:textId="77777777" w:rsidR="00AA7F0A" w:rsidRPr="00F82575" w:rsidRDefault="00AA7F0A" w:rsidP="00362A8D">
      <w:pPr>
        <w:rPr>
          <w:rFonts w:ascii="ＭＳ 明朝" w:hAnsi="ＭＳ 明朝" w:hint="eastAsia"/>
        </w:rPr>
      </w:pPr>
    </w:p>
    <w:p w14:paraId="68A48BA5" w14:textId="77777777" w:rsidR="00362A8D" w:rsidRPr="00F82575" w:rsidRDefault="00362A8D" w:rsidP="00AA7F0A">
      <w:pPr>
        <w:spacing w:line="360" w:lineRule="auto"/>
        <w:ind w:left="360" w:hangingChars="150" w:hanging="360"/>
        <w:rPr>
          <w:rFonts w:ascii="ＭＳ 明朝" w:hAnsi="ＭＳ 明朝"/>
          <w:szCs w:val="24"/>
        </w:rPr>
      </w:pPr>
      <w:r w:rsidRPr="00F82575">
        <w:rPr>
          <w:rFonts w:ascii="ＭＳ 明朝" w:hAnsi="ＭＳ 明朝" w:hint="eastAsia"/>
        </w:rPr>
        <w:t xml:space="preserve">　</w:t>
      </w:r>
      <w:r w:rsidRPr="00F82575">
        <w:rPr>
          <w:rFonts w:ascii="ＭＳ 明朝" w:hAnsi="ＭＳ 明朝" w:hint="eastAsia"/>
          <w:szCs w:val="24"/>
        </w:rPr>
        <w:t>日頃より地域公共交通の維持・発展、住民・利用者の足を守る施策を推進されていることに、心より敬意を表します。</w:t>
      </w:r>
    </w:p>
    <w:p w14:paraId="0B8E3720" w14:textId="32A227BC" w:rsidR="00362A8D" w:rsidRPr="00F82575" w:rsidRDefault="00362A8D" w:rsidP="00AA7F0A">
      <w:pPr>
        <w:spacing w:line="360" w:lineRule="auto"/>
        <w:ind w:left="360" w:hangingChars="150" w:hanging="360"/>
        <w:rPr>
          <w:rFonts w:ascii="ＭＳ 明朝" w:hAnsi="ＭＳ 明朝"/>
          <w:szCs w:val="24"/>
        </w:rPr>
      </w:pPr>
      <w:r w:rsidRPr="00F82575">
        <w:rPr>
          <w:rFonts w:ascii="ＭＳ 明朝" w:hAnsi="ＭＳ 明朝" w:hint="eastAsia"/>
          <w:szCs w:val="24"/>
        </w:rPr>
        <w:t xml:space="preserve">　さて、地域公共交通は、人口減少・少子高齢化に加え、都市部への集中、新しい生活様式の定着の影響により、コロナ禍以降、公共交通の利用者は高止まりの状況にあります。また、一部地域では旅行者の増加によるオーバーツーリズム問題もさらに深刻になっています。さらに、バス事業においては中東情勢の緊迫化による燃料の供給不安と軽油価格の異常な高騰、</w:t>
      </w:r>
      <w:r w:rsidR="00F82575">
        <w:rPr>
          <w:rFonts w:ascii="ＭＳ 明朝" w:hAnsi="ＭＳ 明朝" w:hint="eastAsia"/>
          <w:szCs w:val="24"/>
        </w:rPr>
        <w:t>また、</w:t>
      </w:r>
      <w:r w:rsidRPr="00F82575">
        <w:rPr>
          <w:rFonts w:ascii="ＭＳ 明朝" w:hAnsi="ＭＳ 明朝" w:hint="eastAsia"/>
          <w:szCs w:val="24"/>
        </w:rPr>
        <w:t>運転手や整備員不足から減便や路線の廃止が続き、鉄軌道においてもローカル線の撤退、バリアフリー化整備等に関わる負担増など多くの課題を抱えています。</w:t>
      </w:r>
    </w:p>
    <w:p w14:paraId="4F9BC668" w14:textId="503F1325" w:rsidR="00F82575" w:rsidRPr="00F82575" w:rsidRDefault="00362A8D" w:rsidP="00AA7F0A">
      <w:pPr>
        <w:spacing w:line="360" w:lineRule="auto"/>
        <w:ind w:left="360" w:hangingChars="150" w:hanging="360"/>
        <w:rPr>
          <w:rFonts w:ascii="ＭＳ 明朝" w:hAnsi="ＭＳ 明朝"/>
          <w:szCs w:val="24"/>
        </w:rPr>
      </w:pPr>
      <w:r w:rsidRPr="00F82575">
        <w:rPr>
          <w:rFonts w:ascii="ＭＳ 明朝" w:hAnsi="ＭＳ 明朝" w:hint="eastAsia"/>
          <w:szCs w:val="24"/>
        </w:rPr>
        <w:t xml:space="preserve">　</w:t>
      </w:r>
      <w:r w:rsidR="00F82575" w:rsidRPr="00F82575">
        <w:rPr>
          <w:rFonts w:ascii="ＭＳ 明朝" w:hAnsi="ＭＳ 明朝" w:hint="eastAsia"/>
          <w:szCs w:val="24"/>
        </w:rPr>
        <w:t>つきましては、公営交通をはじめ地域公共交通が地域住民の移動を確保するため質の高い交通サービスを提供するとともに、そこに働く職員の賃金・労働条件の改善がはかられるよう、以下の事項について要望いたします（◎が重点項目）</w:t>
      </w:r>
    </w:p>
    <w:p w14:paraId="3095898B" w14:textId="77777777" w:rsidR="00AA7F0A" w:rsidRDefault="00AA7F0A" w:rsidP="00AA7F0A">
      <w:pPr>
        <w:spacing w:line="360" w:lineRule="auto"/>
        <w:rPr>
          <w:rFonts w:ascii="ＭＳ 明朝" w:hAnsi="ＭＳ 明朝"/>
          <w:szCs w:val="24"/>
        </w:rPr>
      </w:pPr>
    </w:p>
    <w:p w14:paraId="53D51A76" w14:textId="77777777" w:rsidR="00AA7F0A" w:rsidRDefault="00AA7F0A" w:rsidP="00AA7F0A">
      <w:pPr>
        <w:spacing w:line="360" w:lineRule="auto"/>
        <w:rPr>
          <w:rFonts w:ascii="ＭＳ 明朝" w:hAnsi="ＭＳ 明朝"/>
          <w:szCs w:val="24"/>
        </w:rPr>
      </w:pPr>
    </w:p>
    <w:p w14:paraId="4D638AD1" w14:textId="77777777" w:rsidR="00AA7F0A" w:rsidRDefault="00AA7F0A" w:rsidP="00AA7F0A">
      <w:pPr>
        <w:spacing w:line="360" w:lineRule="auto"/>
        <w:rPr>
          <w:rFonts w:ascii="ＭＳ 明朝" w:hAnsi="ＭＳ 明朝"/>
          <w:szCs w:val="24"/>
        </w:rPr>
      </w:pPr>
    </w:p>
    <w:p w14:paraId="3F22840E" w14:textId="77777777" w:rsidR="00AA7F0A" w:rsidRPr="00F82575" w:rsidRDefault="00AA7F0A" w:rsidP="00AA7F0A">
      <w:pPr>
        <w:spacing w:line="360" w:lineRule="auto"/>
        <w:rPr>
          <w:rFonts w:ascii="ＭＳ 明朝" w:hAnsi="ＭＳ 明朝" w:hint="eastAsia"/>
          <w:szCs w:val="24"/>
        </w:rPr>
      </w:pPr>
    </w:p>
    <w:p w14:paraId="6A65826E" w14:textId="4CB34861" w:rsidR="00F82575" w:rsidRPr="00620B56" w:rsidRDefault="00362A8D" w:rsidP="00C06A69">
      <w:pPr>
        <w:spacing w:line="360" w:lineRule="auto"/>
        <w:ind w:left="360" w:hangingChars="150" w:hanging="360"/>
        <w:rPr>
          <w:rFonts w:ascii="ＭＳ ゴシック" w:eastAsia="ＭＳ ゴシック" w:hAnsi="ＭＳ ゴシック"/>
          <w:szCs w:val="24"/>
        </w:rPr>
      </w:pPr>
      <w:r w:rsidRPr="00620B56">
        <w:rPr>
          <w:rFonts w:ascii="ＭＳ ゴシック" w:eastAsia="ＭＳ ゴシック" w:hAnsi="ＭＳ ゴシック" w:hint="eastAsia"/>
          <w:szCs w:val="24"/>
        </w:rPr>
        <w:lastRenderedPageBreak/>
        <w:t>【持続可能な公共交通の実現】</w:t>
      </w:r>
    </w:p>
    <w:p w14:paraId="290BCBDA"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１．住民の生活に欠かせない重要なインフラを維持するため、公共交通事業に対して、以下について支援、施策を講じること。(◎)</w:t>
      </w:r>
    </w:p>
    <w:p w14:paraId="1B5AF9CA"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１）地域公共交通については、移動を確保し住民の生活を支えることを最優先に拡充をはかること。また、地域公共交通の活性化及び再生に関する法律の一部が改正され、地方において問題となっている交通空白地の解消にむけ地方自治体の関与が過度な負担とならないように、交通専任部署の設置・担当者の配置や予算を確保するなどの支援等を講じること。(◎)</w:t>
      </w:r>
    </w:p>
    <w:p w14:paraId="45160B84" w14:textId="284A946F"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（２） 人員不足が事業運営に大きく影響を及ぼしていることから、だれもが活躍できる職場とするなど、魅力ある職業に選ばれるよう労働条件や職場環境の改善にむけた具体的な検討・支援を行うこと。</w:t>
      </w:r>
      <w:r w:rsidRPr="00F82575">
        <w:rPr>
          <w:rFonts w:ascii="ＭＳ 明朝" w:hAnsi="ＭＳ 明朝"/>
          <w:szCs w:val="24"/>
        </w:rPr>
        <w:t xml:space="preserve"> </w:t>
      </w:r>
    </w:p>
    <w:p w14:paraId="79C4B026"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３）交通空白地域の解消に公共ライドシェアの活用が期待されているが、安全性の確保・持続性・既存事業者との調整や自治体の財政負担など多くの問題もあることから、利用者の安全と既存の地域公共交通の存続、持続性を担保するための措置とそのための支援を講じること</w:t>
      </w:r>
    </w:p>
    <w:p w14:paraId="09A6A2E9" w14:textId="502D3C44"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４）中東情勢の緊迫化はバス事業の生命線である軽油価格の異常な高騰と各地で燃料調達の入札不調が相次ぐなど、これまでにない供給不安を引き起こしており、各事業者は路線の減便・廃止はもとより事業の継続にも不安が広がっていることから、安定的な燃料の確保と高騰する燃料費に対する支援をさらに強化すること。</w:t>
      </w:r>
    </w:p>
    <w:p w14:paraId="777D454E" w14:textId="726DE3A7" w:rsidR="005E2830" w:rsidRPr="00F82575" w:rsidRDefault="005E2830" w:rsidP="00C06A69">
      <w:pPr>
        <w:spacing w:line="360" w:lineRule="auto"/>
        <w:ind w:left="360" w:hangingChars="150" w:hanging="360"/>
        <w:rPr>
          <w:rFonts w:ascii="ＭＳ 明朝" w:hAnsi="ＭＳ 明朝"/>
          <w:szCs w:val="24"/>
        </w:rPr>
      </w:pPr>
      <w:r w:rsidRPr="00F82575">
        <w:rPr>
          <w:rFonts w:ascii="ＭＳ 明朝" w:hAnsi="ＭＳ 明朝" w:hint="eastAsia"/>
          <w:szCs w:val="24"/>
        </w:rPr>
        <w:t>（</w:t>
      </w:r>
      <w:r w:rsidR="0006597A" w:rsidRPr="00F82575">
        <w:rPr>
          <w:rFonts w:ascii="ＭＳ 明朝" w:hAnsi="ＭＳ 明朝" w:hint="eastAsia"/>
          <w:szCs w:val="24"/>
        </w:rPr>
        <w:t>５</w:t>
      </w:r>
      <w:r w:rsidRPr="00F82575">
        <w:rPr>
          <w:rFonts w:ascii="ＭＳ 明朝" w:hAnsi="ＭＳ 明朝" w:hint="eastAsia"/>
          <w:szCs w:val="24"/>
        </w:rPr>
        <w:t>）公共交通の利便性の向上にむけて、事業者間の広域連携を推進する観点から、ＩＣカードの共通化を進めてきた。近年では多くの事業者においてクレジット等のタッチ決済やQRコード決済に移行が進んでいるほか、一部では生体認証など新たなシステムも導入され、利用者の利便性はさらに向上している。地域交通の維持とさらなるデジタル化に向け、事業者の負担を軽減するよう国として支援をすること。</w:t>
      </w:r>
    </w:p>
    <w:p w14:paraId="6A8021F6" w14:textId="7CC36D88"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w:t>
      </w:r>
      <w:r w:rsidR="0006597A" w:rsidRPr="00F82575">
        <w:rPr>
          <w:rFonts w:ascii="ＭＳ 明朝" w:hAnsi="ＭＳ 明朝" w:hint="eastAsia"/>
          <w:szCs w:val="24"/>
        </w:rPr>
        <w:t>６</w:t>
      </w:r>
      <w:r w:rsidRPr="00F82575">
        <w:rPr>
          <w:rFonts w:ascii="ＭＳ 明朝" w:hAnsi="ＭＳ 明朝" w:hint="eastAsia"/>
          <w:szCs w:val="24"/>
        </w:rPr>
        <w:t>）</w:t>
      </w:r>
      <w:r w:rsidR="00C06A69">
        <w:rPr>
          <w:rFonts w:ascii="ＭＳ 明朝" w:hAnsi="ＭＳ 明朝" w:hint="eastAsia"/>
          <w:szCs w:val="24"/>
        </w:rPr>
        <w:t xml:space="preserve"> </w:t>
      </w:r>
      <w:r w:rsidRPr="00F82575">
        <w:rPr>
          <w:rFonts w:ascii="ＭＳ 明朝" w:hAnsi="ＭＳ 明朝" w:hint="eastAsia"/>
          <w:szCs w:val="24"/>
        </w:rPr>
        <w:t>安全・安心な運行を担保するため、公共交通運転者の健康管理について、ＳＡＳ（睡眠時無呼吸症候群）や、脳血管疾患の検査が必要不可欠である。また定年延長や人員不足から高齢運転者が増加していることから、脳ＭＲＩ検査を含むスクリーニング検査の受診について、事業者への周知を強化するとともに、検査の義務化するとともに、国と</w:t>
      </w:r>
      <w:r w:rsidRPr="00F82575">
        <w:rPr>
          <w:rFonts w:ascii="ＭＳ 明朝" w:hAnsi="ＭＳ 明朝" w:hint="eastAsia"/>
          <w:szCs w:val="24"/>
        </w:rPr>
        <w:lastRenderedPageBreak/>
        <w:t>して助成措置を創設すること。</w:t>
      </w:r>
    </w:p>
    <w:p w14:paraId="50A3C8F6" w14:textId="35669FD4"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u w:val="single" w:color="FFFFFF" w:themeColor="background1"/>
        </w:rPr>
        <w:t>（</w:t>
      </w:r>
      <w:r w:rsidR="0006597A" w:rsidRPr="00F82575">
        <w:rPr>
          <w:rFonts w:ascii="ＭＳ 明朝" w:hAnsi="ＭＳ 明朝" w:hint="eastAsia"/>
          <w:szCs w:val="24"/>
          <w:u w:val="single" w:color="FFFFFF" w:themeColor="background1"/>
        </w:rPr>
        <w:t>７</w:t>
      </w:r>
      <w:r w:rsidRPr="00F82575">
        <w:rPr>
          <w:rFonts w:ascii="ＭＳ 明朝" w:hAnsi="ＭＳ 明朝" w:hint="eastAsia"/>
          <w:szCs w:val="24"/>
          <w:u w:val="single" w:color="FFFFFF" w:themeColor="background1"/>
        </w:rPr>
        <w:t>）公共交通機関の車内や駅構内などにおけるカスタマーハラスメントは社会的問題と大きく取り上げられており、そのことによって離職する事態も発生してる。労働施策総合推進法が一部改正され2026年10月から施行される見通しだが、同法の施行を受け事業者に対し相談体制の整備等、雇用管理上必要な措置を講ずる義務を課していることを踏まえ国交省として各事業主に対しカスハラ防止に向けた啓発活動を支援すること。</w:t>
      </w:r>
    </w:p>
    <w:p w14:paraId="3661631A" w14:textId="02084A9D"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w:t>
      </w:r>
      <w:r w:rsidR="0006597A" w:rsidRPr="00F82575">
        <w:rPr>
          <w:rFonts w:ascii="ＭＳ 明朝" w:hAnsi="ＭＳ 明朝" w:hint="eastAsia"/>
          <w:szCs w:val="24"/>
        </w:rPr>
        <w:t>８</w:t>
      </w:r>
      <w:r w:rsidRPr="00F82575">
        <w:rPr>
          <w:rFonts w:ascii="ＭＳ 明朝" w:hAnsi="ＭＳ 明朝" w:hint="eastAsia"/>
          <w:szCs w:val="24"/>
        </w:rPr>
        <w:t>）バスや鉄道関係職場への外国人労働者の門戸開放が打ち出されているが、言語や文化の違いによる接遇等利用者サービスへの影響、バスや鉄道運転免許取得制度等関係法令の整備など解決すべき課題が多くある。「分野協議会」等で十分な議論と関係者の合意をはかること。</w:t>
      </w:r>
      <w:r w:rsidRPr="00F82575">
        <w:rPr>
          <w:rFonts w:ascii="ＭＳ 明朝" w:hAnsi="ＭＳ 明朝"/>
          <w:szCs w:val="24"/>
        </w:rPr>
        <w:t xml:space="preserve"> </w:t>
      </w:r>
    </w:p>
    <w:p w14:paraId="5123BF33" w14:textId="23FDA6B0"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w:t>
      </w:r>
      <w:r w:rsidR="0006597A" w:rsidRPr="00F82575">
        <w:rPr>
          <w:rFonts w:ascii="ＭＳ 明朝" w:hAnsi="ＭＳ 明朝" w:hint="eastAsia"/>
          <w:szCs w:val="24"/>
        </w:rPr>
        <w:t>９</w:t>
      </w:r>
      <w:r w:rsidRPr="00F82575">
        <w:rPr>
          <w:rFonts w:ascii="ＭＳ 明朝" w:hAnsi="ＭＳ 明朝" w:hint="eastAsia"/>
          <w:szCs w:val="24"/>
        </w:rPr>
        <w:t>）公共交通における一般定期と通学定期及び障害者割引等の差額については事業者負担となっており、経営に大きく影響を及ぼしている。国は教育費無償化など授業料等の負担軽減を推進している。また、障害者割り引きは憲法の理念に基づく移動権の保証であり、本来、税によって支えられるべき公的な福祉政策であること等を鑑み関係省庁と連携しながら一般定期との差額分を補助すること。</w:t>
      </w:r>
    </w:p>
    <w:p w14:paraId="636AF0CD" w14:textId="77777777" w:rsidR="00362A8D" w:rsidRPr="00F82575" w:rsidRDefault="00362A8D" w:rsidP="00C06A69">
      <w:pPr>
        <w:spacing w:line="360" w:lineRule="auto"/>
        <w:ind w:left="360" w:hangingChars="150" w:hanging="360"/>
        <w:rPr>
          <w:rFonts w:ascii="ＭＳ 明朝" w:hAnsi="ＭＳ 明朝"/>
          <w:szCs w:val="24"/>
        </w:rPr>
      </w:pPr>
    </w:p>
    <w:p w14:paraId="18A4CA2F" w14:textId="77777777" w:rsidR="00362A8D" w:rsidRPr="00620B56" w:rsidRDefault="00362A8D" w:rsidP="00C06A69">
      <w:pPr>
        <w:spacing w:line="360" w:lineRule="auto"/>
        <w:ind w:left="360" w:hangingChars="150" w:hanging="360"/>
        <w:rPr>
          <w:rFonts w:ascii="ＭＳ ゴシック" w:eastAsia="ＭＳ ゴシック" w:hAnsi="ＭＳ ゴシック"/>
          <w:szCs w:val="24"/>
        </w:rPr>
      </w:pPr>
      <w:r w:rsidRPr="00620B56">
        <w:rPr>
          <w:rFonts w:ascii="ＭＳ ゴシック" w:eastAsia="ＭＳ ゴシック" w:hAnsi="ＭＳ ゴシック" w:hint="eastAsia"/>
          <w:szCs w:val="24"/>
        </w:rPr>
        <w:t>【コロナ禍以降における公共交通の存続】</w:t>
      </w:r>
    </w:p>
    <w:p w14:paraId="17379C35"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１．住民の生活に重要なインフラを維持するため、いまだに新型コロナウイルス感染症による影響から脱却しきれていない公共交通事業に対して、以下について支援・施策を講じること。</w:t>
      </w:r>
    </w:p>
    <w:p w14:paraId="4B706C74"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１）新型コロナウイルス感染症の収束後も定期利用者を中心に輸送人員が十分に回復せず依然として厳しい経営状況が続いている。地域公共交通を再構築する「リ・デザイン」に向けた取り組みが進められているが、地方を中心に課題が多くある。公営交通をはじめ地域の公共交通事業の継続・拡充がはかられるよう交通事業者に対する新たな支援策を拡充するとともに、自治体のより積極的・主体性関与とそのための国の支援をはかること。</w:t>
      </w:r>
    </w:p>
    <w:p w14:paraId="32FD77C2"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（２）新型コロナウイルス感染症以降、リモート会議、時差通勤、在宅勤務の促進など新しい生活様式に移行していることに加え、人件費・燃料費高騰による影響も深刻になっ</w:t>
      </w:r>
      <w:r w:rsidRPr="00F82575">
        <w:rPr>
          <w:rFonts w:ascii="ＭＳ 明朝" w:hAnsi="ＭＳ 明朝" w:hint="eastAsia"/>
          <w:szCs w:val="24"/>
        </w:rPr>
        <w:lastRenderedPageBreak/>
        <w:t>ている。また、人員の確保・離職防止をはかるための職員の処遇改善を進めることなどを踏まえ、弾力的かつ柔軟な運賃制度を導入すること。</w:t>
      </w:r>
    </w:p>
    <w:p w14:paraId="40E80A3E" w14:textId="77777777" w:rsidR="00362A8D" w:rsidRDefault="00362A8D" w:rsidP="00C06A69">
      <w:pPr>
        <w:spacing w:line="360" w:lineRule="auto"/>
        <w:ind w:left="360" w:hangingChars="150" w:hanging="360"/>
        <w:rPr>
          <w:rFonts w:ascii="ＭＳ 明朝" w:hAnsi="ＭＳ 明朝"/>
          <w:szCs w:val="24"/>
        </w:rPr>
      </w:pPr>
    </w:p>
    <w:p w14:paraId="7BADB7BE" w14:textId="77777777" w:rsidR="00C06A69" w:rsidRPr="00F82575" w:rsidRDefault="00C06A69" w:rsidP="00C06A69">
      <w:pPr>
        <w:spacing w:line="360" w:lineRule="auto"/>
        <w:ind w:left="360" w:hangingChars="150" w:hanging="360"/>
        <w:rPr>
          <w:rFonts w:ascii="ＭＳ 明朝" w:hAnsi="ＭＳ 明朝"/>
          <w:szCs w:val="24"/>
        </w:rPr>
      </w:pPr>
    </w:p>
    <w:p w14:paraId="20DDD247" w14:textId="77777777" w:rsidR="00362A8D" w:rsidRPr="00620B56" w:rsidRDefault="00362A8D" w:rsidP="00C06A69">
      <w:pPr>
        <w:spacing w:line="360" w:lineRule="auto"/>
        <w:ind w:left="360" w:hangingChars="150" w:hanging="360"/>
        <w:rPr>
          <w:rFonts w:ascii="ＭＳ ゴシック" w:eastAsia="ＭＳ ゴシック" w:hAnsi="ＭＳ ゴシック"/>
          <w:szCs w:val="24"/>
        </w:rPr>
      </w:pPr>
      <w:r w:rsidRPr="00620B56">
        <w:rPr>
          <w:rFonts w:ascii="ＭＳ ゴシック" w:eastAsia="ＭＳ ゴシック" w:hAnsi="ＭＳ ゴシック" w:hint="eastAsia"/>
          <w:szCs w:val="24"/>
        </w:rPr>
        <w:t>【災害時における公共交通の運行と安全輸送】</w:t>
      </w:r>
    </w:p>
    <w:p w14:paraId="2D86B983"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1．自然災害や感染症等の発生時における地域住民の安全・安心な移動の確保にむけ、事業の継続に十分な備蓄品などを配備するなど、安全衛生を徹底した就労環境の推進をはかること。また、帰宅困難者等への支援物資の確保に必要な財政補助を行うこと。</w:t>
      </w:r>
    </w:p>
    <w:p w14:paraId="248793A9"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2．豪雨や河川の氾濫などによるバス車両等の冠水被害は早期の生活再建・復旧に支障をきたすことから、事業者ごとの課題を明らかにすること。さらに必要に応じて、代替地や車両避難場所の確保など、防災力を高める対策の推進とそのための財源確保を行うこと。</w:t>
      </w:r>
    </w:p>
    <w:p w14:paraId="00386F4C"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3．豪雨による地下駅の浸水対策について、都市鉄道整備事業費および鉄道施設総合安全対策事業費の補助を拡充して対策の着実な推進をはかること。また、機器更新についても補助対象とすること。また、地下街や接続ビルの出入口からの浸水に備え、事業者間の協定の推進や訓練など対策の強化を行うこと。</w:t>
      </w:r>
    </w:p>
    <w:p w14:paraId="1012733B" w14:textId="77777777" w:rsidR="00362A8D" w:rsidRPr="00F82575" w:rsidRDefault="00362A8D" w:rsidP="00C06A69">
      <w:pPr>
        <w:spacing w:line="360" w:lineRule="auto"/>
        <w:ind w:left="360" w:hangingChars="150" w:hanging="360"/>
        <w:rPr>
          <w:rFonts w:ascii="ＭＳ 明朝" w:hAnsi="ＭＳ 明朝"/>
          <w:szCs w:val="24"/>
        </w:rPr>
      </w:pPr>
    </w:p>
    <w:p w14:paraId="2EDB4FE4" w14:textId="77777777" w:rsidR="00362A8D" w:rsidRPr="00620B56" w:rsidRDefault="00362A8D" w:rsidP="00C06A69">
      <w:pPr>
        <w:spacing w:line="360" w:lineRule="auto"/>
        <w:ind w:left="360" w:hangingChars="150" w:hanging="360"/>
        <w:rPr>
          <w:rFonts w:ascii="ＭＳ ゴシック" w:eastAsia="ＭＳ ゴシック" w:hAnsi="ＭＳ ゴシック"/>
          <w:szCs w:val="24"/>
        </w:rPr>
      </w:pPr>
      <w:r w:rsidRPr="00620B56">
        <w:rPr>
          <w:rFonts w:ascii="ＭＳ ゴシック" w:eastAsia="ＭＳ ゴシック" w:hAnsi="ＭＳ ゴシック" w:hint="eastAsia"/>
          <w:szCs w:val="24"/>
        </w:rPr>
        <w:t>【バス交通関係】</w:t>
      </w:r>
    </w:p>
    <w:p w14:paraId="1611E5FE"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1．バス運転者の人員不足問題は、「2024年問題」以降路線の減便・廃止にとどまらず、事業の存続をも左右しかねない状況にあることを踏まえ、地域の移動手段が安定的に確保できるよう、次の措置を講じること。（◎）</w:t>
      </w:r>
    </w:p>
    <w:p w14:paraId="47B0F02E"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１）全産業と比較し有効求人倍率の水準の差が出ている要因として、低賃金・長時間労働の勤務体系が大きく起因していると考えられることから、職種全体の処遇の底上げおよび勤務環境の改善にむけ、必要な施策を講じること。また、補助制度は赤字分の補填ではなく、処遇改善やサービス向上を含めた額とすること。</w:t>
      </w:r>
    </w:p>
    <w:p w14:paraId="69FAE34F"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２）自動車運転者の労働時間の改善にむけて、厚生労働省と連携してバス事業者に対し改善基準告示の遵守の徹底と違反事業者への改善指導を強化するとともに、引き続き過労運転の防止など安全運行確保のための施策を強化すること。</w:t>
      </w:r>
    </w:p>
    <w:p w14:paraId="58EF3C4B"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（３）改善基準告示の施行により、交通運輸業界の人員不足がさらに深刻となり移動・物</w:t>
      </w:r>
      <w:r w:rsidRPr="00F82575">
        <w:rPr>
          <w:rFonts w:ascii="ＭＳ 明朝" w:hAnsi="ＭＳ 明朝" w:hint="eastAsia"/>
          <w:szCs w:val="24"/>
        </w:rPr>
        <w:lastRenderedPageBreak/>
        <w:t>流への影響も危惧されることから、自動車運転者の処遇や高齢者の働き方及び女性の職場環境の改善支援等人員確保の具体策を早急に講じること。</w:t>
      </w:r>
    </w:p>
    <w:p w14:paraId="6CE8E6FB"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（４）各事業者における養成運転者の育成、および第二種運転免許の受験資格の緩和にともなう義務講習について、事業者に対する費用の補助のさらなる拡充を行うこと。</w:t>
      </w:r>
    </w:p>
    <w:p w14:paraId="3DF20DF1"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2．だれもが利用しやすく、安全・安心の運行を確保するため、車両等設備について、次の措置を講じること。</w:t>
      </w:r>
    </w:p>
    <w:p w14:paraId="0A0D999D"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１）ノンステップバスの導入については、地域間・事業者間格差が生じていることから、導入の進んでいない事業者に対して補助金の拡充をはかり導入を促進するとともに、更新時期となった車両の購入についても補助対象とすること。</w:t>
      </w:r>
    </w:p>
    <w:p w14:paraId="46CAE551"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２）先進安全自動車（ＡＳＶ）装置購入に対しての補助金について、１車両ごとに設置する補助対象装置の種類が制度導入時より増加していることから、１車両当たりの上限補助を増額するなど制度の拡充をはかること。</w:t>
      </w:r>
    </w:p>
    <w:p w14:paraId="70CC20A0" w14:textId="77777777" w:rsidR="00362A8D" w:rsidRPr="00F82575" w:rsidRDefault="00362A8D" w:rsidP="00C06A69">
      <w:pPr>
        <w:spacing w:line="360" w:lineRule="auto"/>
        <w:ind w:leftChars="100" w:left="600" w:hangingChars="150" w:hanging="360"/>
        <w:rPr>
          <w:rFonts w:ascii="ＭＳ 明朝" w:hAnsi="ＭＳ 明朝"/>
          <w:szCs w:val="24"/>
          <w:u w:val="single"/>
        </w:rPr>
      </w:pPr>
      <w:r w:rsidRPr="00F82575">
        <w:rPr>
          <w:rFonts w:ascii="ＭＳ 明朝" w:hAnsi="ＭＳ 明朝" w:hint="eastAsia"/>
          <w:szCs w:val="24"/>
        </w:rPr>
        <w:t>各バス事業者は、カーボンニュートラルの実現に向け、EVバスやハイブリッドバス等の環境対策車の導入を積極的に進めています。しかし、現行の補助制度では「車両価格の差額の一部」が事業者負担となっており、経営状況が厳しい中で導入の大きな障壁となっています。地域公共交通の維持と脱炭素化を両立させるため、既存車両との購入差額分について、国と自治体で全額を補助する制度の創設を行うこと。</w:t>
      </w:r>
    </w:p>
    <w:p w14:paraId="620C8FE9"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3．バス運転者がバス停等で停止した際に、高齢者の旅客が転倒し骨折等の障害が発生した場合車内事故として、安全運転義務違反の罰則の適応となることから、ドライブレコーダー等による映像確認など適正な状況の把握に努め、バス運転者が正しい手順で運行している場合は、適用の除外となるよう関係省庁と検討すること。</w:t>
      </w:r>
    </w:p>
    <w:p w14:paraId="16F9CC2B" w14:textId="77777777" w:rsidR="00362A8D" w:rsidRPr="00F82575" w:rsidRDefault="00362A8D" w:rsidP="00C06A69">
      <w:pPr>
        <w:spacing w:line="360" w:lineRule="auto"/>
        <w:ind w:left="360" w:hangingChars="150" w:hanging="360"/>
        <w:rPr>
          <w:rFonts w:ascii="ＭＳ 明朝" w:hAnsi="ＭＳ 明朝"/>
          <w:szCs w:val="24"/>
        </w:rPr>
      </w:pPr>
    </w:p>
    <w:p w14:paraId="081A3E07" w14:textId="77777777" w:rsidR="00362A8D" w:rsidRPr="00620B56" w:rsidRDefault="00362A8D" w:rsidP="00C06A69">
      <w:pPr>
        <w:spacing w:line="360" w:lineRule="auto"/>
        <w:ind w:left="360" w:hangingChars="150" w:hanging="360"/>
        <w:rPr>
          <w:rFonts w:ascii="ＭＳ ゴシック" w:eastAsia="ＭＳ ゴシック" w:hAnsi="ＭＳ ゴシック"/>
          <w:szCs w:val="24"/>
        </w:rPr>
      </w:pPr>
      <w:r w:rsidRPr="00620B56">
        <w:rPr>
          <w:rFonts w:ascii="ＭＳ ゴシック" w:eastAsia="ＭＳ ゴシック" w:hAnsi="ＭＳ ゴシック" w:hint="eastAsia"/>
          <w:szCs w:val="24"/>
        </w:rPr>
        <w:t>【鉄軌道交通関係】</w:t>
      </w:r>
    </w:p>
    <w:p w14:paraId="79E128FB"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1．地方公営企業(交通事業)の路面復旧等に関する経費について、道路の機能回復という行政目的に鑑み、道路種別(国道、県道、市道)や道路管理者の如何に関わらず、地方自治体が実質的に負担するすべての経費が補償されるよう、関係省庁との協議により、地方公営企業操出基準の見直しおよび地方交付税(基準財政需要額)への全額(100％)算定措置を講じること。（◎）</w:t>
      </w:r>
    </w:p>
    <w:p w14:paraId="4DEE30C6"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lastRenderedPageBreak/>
        <w:t>2．各地で進められている路面電車の延伸や新線建設、ＬＲＴ（次世代型路面電車システム）の導入計画や低床式車両の導入および停留施設に関する整備などに必要な予算の確保と支援制度の拡充をはかること。</w:t>
      </w:r>
    </w:p>
    <w:p w14:paraId="45D2050E"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3．「地域公共交通確保維持改善事業費補助金交付要綱」において、補助対象の鉄軌道事業者から地方公共団体を除くとされているが、路面電車事業については、民間・公営を問わず補助の対象とすること。</w:t>
      </w:r>
    </w:p>
    <w:p w14:paraId="2518BDDC"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4．都市モノレールなど新交通システムについて、汎用性も少ないことから製造者も限られ更新費用は高額となっている。また、保安設備等の老朽化対策や車両更新を含む安全性向上が大きな課題となっていることから、「鉄道施設総合安全対策事業費補助」、「地域公共交通確保維持改善事業費補助金」の費用負担の在り方、補助額の増加、補助対象の拡大など制度の拡充をはかること。</w:t>
      </w:r>
    </w:p>
    <w:p w14:paraId="4138573F"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5．「地下高速鉄道整備事業費補助制度」について、エレベーター・エスカレーター・ホームドア等は、誰もが利用しやすい公共交通の実現に必要不可欠な設備であるため、改修・更新や増設についても大規模改良工事に位置づけ補助対象とすること。</w:t>
      </w:r>
    </w:p>
    <w:p w14:paraId="2977D9D0" w14:textId="77777777" w:rsidR="00362A8D" w:rsidRPr="00F82575" w:rsidRDefault="00362A8D" w:rsidP="00C06A69">
      <w:pPr>
        <w:spacing w:line="360" w:lineRule="auto"/>
        <w:ind w:left="360" w:hangingChars="150" w:hanging="360"/>
        <w:rPr>
          <w:rFonts w:ascii="ＭＳ 明朝" w:hAnsi="ＭＳ 明朝"/>
        </w:rPr>
      </w:pPr>
      <w:r w:rsidRPr="00F82575">
        <w:rPr>
          <w:rFonts w:ascii="ＭＳ 明朝" w:hAnsi="ＭＳ 明朝" w:hint="eastAsia"/>
          <w:szCs w:val="24"/>
        </w:rPr>
        <w:t>6．鉄道車内での無差別殺傷事件対策として、事業者への新造車両への車内防犯カメラの設置が義務化されたが、既存車両への設置については新たな負担増となることから、設置に関わる補助制度の拡充をすること。</w:t>
      </w:r>
    </w:p>
    <w:p w14:paraId="75EBD6CD" w14:textId="77777777" w:rsidR="00362A8D" w:rsidRPr="00F82575" w:rsidRDefault="00362A8D" w:rsidP="00C06A69">
      <w:pPr>
        <w:spacing w:line="360" w:lineRule="auto"/>
        <w:ind w:left="360" w:hangingChars="150" w:hanging="360"/>
        <w:rPr>
          <w:rFonts w:ascii="ＭＳ 明朝" w:hAnsi="ＭＳ 明朝"/>
          <w:szCs w:val="24"/>
        </w:rPr>
      </w:pPr>
      <w:r w:rsidRPr="00F82575">
        <w:rPr>
          <w:rFonts w:ascii="ＭＳ 明朝" w:hAnsi="ＭＳ 明朝" w:hint="eastAsia"/>
          <w:szCs w:val="24"/>
        </w:rPr>
        <w:t>7．全国のトンネル、橋りょうをはじめとする多くの鉄道構造物の老朽化が進んでおり、耐用年数を大幅に超えるものも増加しており、大規模改修の必要性が高まっている。老朽化対策として、鉄道施設総合安全対策事業費補助が措置されているが、維持管理費は各事業者にとって大きな負担となっていることから、十分な支援をすること。</w:t>
      </w:r>
    </w:p>
    <w:p w14:paraId="66B20BDF" w14:textId="77777777" w:rsidR="00B30311" w:rsidRDefault="00B30311" w:rsidP="00C06A69">
      <w:pPr>
        <w:spacing w:line="360" w:lineRule="auto"/>
        <w:ind w:left="360" w:hangingChars="150" w:hanging="360"/>
        <w:jc w:val="right"/>
        <w:rPr>
          <w:rFonts w:ascii="ＭＳ 明朝" w:hAnsi="ＭＳ 明朝"/>
          <w:szCs w:val="24"/>
        </w:rPr>
      </w:pPr>
    </w:p>
    <w:p w14:paraId="00EDAA34" w14:textId="39432472" w:rsidR="00E74CCB" w:rsidRPr="00F82575" w:rsidRDefault="00362A8D" w:rsidP="00B30311">
      <w:pPr>
        <w:spacing w:line="360" w:lineRule="auto"/>
        <w:ind w:left="360" w:hangingChars="150" w:hanging="360"/>
        <w:jc w:val="right"/>
        <w:rPr>
          <w:rFonts w:ascii="ＭＳ 明朝" w:hAnsi="ＭＳ 明朝"/>
          <w:szCs w:val="24"/>
        </w:rPr>
      </w:pPr>
      <w:r w:rsidRPr="00F82575">
        <w:rPr>
          <w:rFonts w:ascii="ＭＳ 明朝" w:hAnsi="ＭＳ 明朝" w:hint="eastAsia"/>
          <w:szCs w:val="24"/>
        </w:rPr>
        <w:t>以　　上</w:t>
      </w:r>
    </w:p>
    <w:sectPr w:rsidR="00E74CCB" w:rsidRPr="00F82575" w:rsidSect="00C06A69">
      <w:pgSz w:w="11906" w:h="16838" w:code="9"/>
      <w:pgMar w:top="1418" w:right="1134" w:bottom="1418" w:left="1134" w:header="851" w:footer="992" w:gutter="0"/>
      <w:cols w:space="425"/>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CAC6E" w14:textId="77777777" w:rsidR="00E41C5B" w:rsidRDefault="00E41C5B" w:rsidP="00362A8D">
      <w:r>
        <w:separator/>
      </w:r>
    </w:p>
  </w:endnote>
  <w:endnote w:type="continuationSeparator" w:id="0">
    <w:p w14:paraId="4DCC433E" w14:textId="77777777" w:rsidR="00E41C5B" w:rsidRDefault="00E41C5B" w:rsidP="00362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281E" w14:textId="77777777" w:rsidR="00E41C5B" w:rsidRDefault="00E41C5B" w:rsidP="00362A8D">
      <w:r>
        <w:separator/>
      </w:r>
    </w:p>
  </w:footnote>
  <w:footnote w:type="continuationSeparator" w:id="0">
    <w:p w14:paraId="54F50A36" w14:textId="77777777" w:rsidR="00E41C5B" w:rsidRDefault="00E41C5B" w:rsidP="00362A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3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CB"/>
    <w:rsid w:val="00045268"/>
    <w:rsid w:val="0006597A"/>
    <w:rsid w:val="00073C7A"/>
    <w:rsid w:val="000E01C1"/>
    <w:rsid w:val="00164442"/>
    <w:rsid w:val="00187942"/>
    <w:rsid w:val="0026214F"/>
    <w:rsid w:val="00362A8D"/>
    <w:rsid w:val="00413AAA"/>
    <w:rsid w:val="005E2830"/>
    <w:rsid w:val="005F26A2"/>
    <w:rsid w:val="00620B56"/>
    <w:rsid w:val="00665AD7"/>
    <w:rsid w:val="008D580F"/>
    <w:rsid w:val="00960ECF"/>
    <w:rsid w:val="00992593"/>
    <w:rsid w:val="009C2879"/>
    <w:rsid w:val="00AA7F0A"/>
    <w:rsid w:val="00B30311"/>
    <w:rsid w:val="00B32C63"/>
    <w:rsid w:val="00B459C3"/>
    <w:rsid w:val="00B917CD"/>
    <w:rsid w:val="00C06A69"/>
    <w:rsid w:val="00C20385"/>
    <w:rsid w:val="00C22AB7"/>
    <w:rsid w:val="00C9751E"/>
    <w:rsid w:val="00CB6B50"/>
    <w:rsid w:val="00DF1265"/>
    <w:rsid w:val="00E41C5B"/>
    <w:rsid w:val="00E74CCB"/>
    <w:rsid w:val="00F82575"/>
    <w:rsid w:val="00FF32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663399"/>
  <w15:chartTrackingRefBased/>
  <w15:docId w15:val="{E3CE0613-C9F7-4454-9A5F-D40566D0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4CCB"/>
    <w:pPr>
      <w:widowControl w:val="0"/>
      <w:jc w:val="both"/>
    </w:pPr>
  </w:style>
  <w:style w:type="paragraph" w:styleId="1">
    <w:name w:val="heading 1"/>
    <w:basedOn w:val="a"/>
    <w:next w:val="a"/>
    <w:link w:val="10"/>
    <w:uiPriority w:val="9"/>
    <w:qFormat/>
    <w:rsid w:val="00E74CC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74CC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74CCB"/>
    <w:pPr>
      <w:keepNext/>
      <w:keepLines/>
      <w:spacing w:before="160" w:after="80"/>
      <w:outlineLvl w:val="2"/>
    </w:pPr>
    <w:rPr>
      <w:rFonts w:asciiTheme="majorHAnsi" w:eastAsiaTheme="majorEastAsia" w:hAnsiTheme="majorHAnsi" w:cstheme="majorBidi"/>
      <w:color w:val="000000" w:themeColor="text1"/>
      <w:szCs w:val="24"/>
    </w:rPr>
  </w:style>
  <w:style w:type="paragraph" w:styleId="4">
    <w:name w:val="heading 4"/>
    <w:basedOn w:val="a"/>
    <w:next w:val="a"/>
    <w:link w:val="40"/>
    <w:uiPriority w:val="9"/>
    <w:semiHidden/>
    <w:unhideWhenUsed/>
    <w:qFormat/>
    <w:rsid w:val="00E74CC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74CC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74CC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74CC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74CC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74CC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74CC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74CC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74CCB"/>
    <w:rPr>
      <w:rFonts w:asciiTheme="majorHAnsi" w:eastAsiaTheme="majorEastAsia" w:hAnsiTheme="majorHAnsi" w:cstheme="majorBidi"/>
      <w:color w:val="000000" w:themeColor="text1"/>
      <w:szCs w:val="24"/>
    </w:rPr>
  </w:style>
  <w:style w:type="character" w:customStyle="1" w:styleId="40">
    <w:name w:val="見出し 4 (文字)"/>
    <w:basedOn w:val="a0"/>
    <w:link w:val="4"/>
    <w:uiPriority w:val="9"/>
    <w:semiHidden/>
    <w:rsid w:val="00E74CC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74CC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74CC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74CC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74CC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74CC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74CC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74CC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4CC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74CC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74CCB"/>
    <w:pPr>
      <w:spacing w:before="160" w:after="160"/>
      <w:jc w:val="center"/>
    </w:pPr>
    <w:rPr>
      <w:i/>
      <w:iCs/>
      <w:color w:val="404040" w:themeColor="text1" w:themeTint="BF"/>
    </w:rPr>
  </w:style>
  <w:style w:type="character" w:customStyle="1" w:styleId="a8">
    <w:name w:val="引用文 (文字)"/>
    <w:basedOn w:val="a0"/>
    <w:link w:val="a7"/>
    <w:uiPriority w:val="29"/>
    <w:rsid w:val="00E74CCB"/>
    <w:rPr>
      <w:i/>
      <w:iCs/>
      <w:color w:val="404040" w:themeColor="text1" w:themeTint="BF"/>
    </w:rPr>
  </w:style>
  <w:style w:type="paragraph" w:styleId="a9">
    <w:name w:val="List Paragraph"/>
    <w:basedOn w:val="a"/>
    <w:uiPriority w:val="34"/>
    <w:qFormat/>
    <w:rsid w:val="00E74CCB"/>
    <w:pPr>
      <w:ind w:left="720"/>
      <w:contextualSpacing/>
    </w:pPr>
  </w:style>
  <w:style w:type="character" w:styleId="21">
    <w:name w:val="Intense Emphasis"/>
    <w:basedOn w:val="a0"/>
    <w:uiPriority w:val="21"/>
    <w:qFormat/>
    <w:rsid w:val="00E74CCB"/>
    <w:rPr>
      <w:i/>
      <w:iCs/>
      <w:color w:val="0F4761" w:themeColor="accent1" w:themeShade="BF"/>
    </w:rPr>
  </w:style>
  <w:style w:type="paragraph" w:styleId="22">
    <w:name w:val="Intense Quote"/>
    <w:basedOn w:val="a"/>
    <w:next w:val="a"/>
    <w:link w:val="23"/>
    <w:uiPriority w:val="30"/>
    <w:qFormat/>
    <w:rsid w:val="00E74C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74CCB"/>
    <w:rPr>
      <w:i/>
      <w:iCs/>
      <w:color w:val="0F4761" w:themeColor="accent1" w:themeShade="BF"/>
    </w:rPr>
  </w:style>
  <w:style w:type="character" w:styleId="24">
    <w:name w:val="Intense Reference"/>
    <w:basedOn w:val="a0"/>
    <w:uiPriority w:val="32"/>
    <w:qFormat/>
    <w:rsid w:val="00E74CCB"/>
    <w:rPr>
      <w:b/>
      <w:bCs/>
      <w:smallCaps/>
      <w:color w:val="0F4761" w:themeColor="accent1" w:themeShade="BF"/>
      <w:spacing w:val="5"/>
    </w:rPr>
  </w:style>
  <w:style w:type="paragraph" w:styleId="aa">
    <w:name w:val="header"/>
    <w:basedOn w:val="a"/>
    <w:link w:val="ab"/>
    <w:uiPriority w:val="99"/>
    <w:unhideWhenUsed/>
    <w:rsid w:val="00362A8D"/>
    <w:pPr>
      <w:tabs>
        <w:tab w:val="center" w:pos="4252"/>
        <w:tab w:val="right" w:pos="8504"/>
      </w:tabs>
      <w:snapToGrid w:val="0"/>
    </w:pPr>
  </w:style>
  <w:style w:type="character" w:customStyle="1" w:styleId="ab">
    <w:name w:val="ヘッダー (文字)"/>
    <w:basedOn w:val="a0"/>
    <w:link w:val="aa"/>
    <w:uiPriority w:val="99"/>
    <w:rsid w:val="00362A8D"/>
  </w:style>
  <w:style w:type="paragraph" w:styleId="ac">
    <w:name w:val="footer"/>
    <w:basedOn w:val="a"/>
    <w:link w:val="ad"/>
    <w:uiPriority w:val="99"/>
    <w:unhideWhenUsed/>
    <w:rsid w:val="00362A8D"/>
    <w:pPr>
      <w:tabs>
        <w:tab w:val="center" w:pos="4252"/>
        <w:tab w:val="right" w:pos="8504"/>
      </w:tabs>
      <w:snapToGrid w:val="0"/>
    </w:pPr>
  </w:style>
  <w:style w:type="character" w:customStyle="1" w:styleId="ad">
    <w:name w:val="フッター (文字)"/>
    <w:basedOn w:val="a0"/>
    <w:link w:val="ac"/>
    <w:uiPriority w:val="99"/>
    <w:rsid w:val="00362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734</Words>
  <Characters>4187</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松岡 真二</dc:creator>
  <cp:keywords/>
  <dc:description/>
  <cp:lastModifiedBy>松岡 真二</cp:lastModifiedBy>
  <cp:revision>7</cp:revision>
  <cp:lastPrinted>2026-08-20T07:58:00Z</cp:lastPrinted>
  <dcterms:created xsi:type="dcterms:W3CDTF">2026-06-03T02:49:00Z</dcterms:created>
  <dcterms:modified xsi:type="dcterms:W3CDTF">2026-08-20T08:11:00Z</dcterms:modified>
</cp:coreProperties>
</file>